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Рождественские традиции Москвы 5 дней/4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Музей-диорама «Царь-Макет»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ВДНХ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Красная площадь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Московский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Музей-усадьб «Коломенское»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Киностудию «Мосфильм»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ТЦ Европейский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Хамовники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Музея сословий России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Классический рождественский тур в Москву на 5 дней с проживанием и экскурсиями по новогодней столице от Кремля, Красной площади и Храма Христа Спасителя до киностудии Мосфильм, ВДНХ и усадьбы Коломенское - насыщенные Рождественские каникулы 2025 года в Москве.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 Освобождение номеров до 12:00. Завтрак в день заезда не предоставляется! 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Прибытие в Москву. Самостоятельный заезд в гостиницу. Сдача вещей в камеру хранения гостиницы (размещение после экскурсионной программы, расчетный час – 14:00).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(время уточняется)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 Отправление на экскурсию на автобусе.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новый музей-диораму «Царь-Макет»,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где в масштабе 1:87 представлены наиболее узнаваемые и знаменитые объекты, города и уголки нашей огромной страны. Возможность посетить и увидеть сразу всю Россию в одном музее по-своему необычна и уникальна. Музей задуман как познавательный и образовательный наглядный экспонат. В нём интересно не только детям, но и взрослым. Культурный интерес в музее представляют самые известные архитектурные памятники Москвы, Санкт-Петербурга, Казани и других городов от Калининграда до Владивостока, самые знаменитые исторические и природные объекты. С технической стороны музей отличается от других движущейся системой автомобильных и железных дорог, многими десятками интерактивных сцен, которые запускаются посетителями, сменой дня и ночи.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Прогулка по территории ВДНХ (Выставке Достижений Народного Хозяйства)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крупнейшему экспозиционному и музейному комплексу, открытому в далеком 1939 году и не раз сменившему свое название. В период новогодних праздников ВДНХ становится настоящим эпицентром гуляний, где открыт главный каток страны, работают многочисленные ярмарки, проводятся интересные праздничные экспозиции и развлекательные мероприятия, которые не дадут заскучать ни детям, ни взрослым.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на ВДНХ. Свободное время. Самостоятельное возвращение в отель.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Посещение аквариума в центре океанографии и морской биологии «Москвариум»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уникального комплекса, где представлены сотни разновидностей морских жителей, необычных экзотических рыб, акул и скатов, осьминогов и медуз. Океанариум является настоящей ожившей энциклопедией, отражающей все многообразие обитателей Мирового океана.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Новогоднее шоу в Москвариуме – сказочный новогодний мюзикл с участием морских млекопитающих, цирковых артистов, танцоров и музыкантов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 Встреча с гидом. Отправление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Автобусно-пешеходная обзорная экскурсия «Новогодняя Москва!»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по роскошно украшенной, сверкающей огнями и гирляндами столице, познакомимся с ее культурой, архитектурным замыслом и историческими фактами, увидим самые известные достопримечательности, такие как Храм Христа Спасителя, считающийся самым большим церковным зданием России, памятник Петру I на Москве-реке, Дом Правительства России, здание МГУ, прогуляемся по смотровой площадке Воробьевых гор, откуда открывается завораживающая панорама города: стадион «Лужники», Новодевичий монастырь, здание Президиума РАН, «Семь сестер» - знаменитые сталинские высотки и многое другое.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Красной площади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самой величественной площади города и истинному сердцу столицы. Новый Год до неузнаваемости преображает ее: роскошно украшенная главная елка страны, знаменитый каток, веселые карусели и красочные ярмарочные палатки. Мы увидим уникальный Храм Василия Блаженного, побываем на Лобном месте и посетим самый популярный универмаг в СССР – ГУМ, где каждый сможет попробовать знаменитый фирменный ГУМовский десерт – легендарное мороженое.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территории Московского Кремля с посещением одного из соборов-музеев на Соборной площади.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В аpxитeктypный aнcaмбль Mocкoвcкoгo Кремля входят Apxaнгeльcкий, Блaгoвeщeнcкий и Уcпeнcкий coбopы, Пaтpиapший дворец с церковью Двенадцати апостолов, цepкoвь Pизoпoлoжeния, кoлoкoльня Ивaн Beликий и Tepeмнoй двopeц.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города. Свободное время. Самостоятельное возвращение в гостиницу.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Новогоднее шоу в Цирке братьев Запашных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- полная неожиданностей, загадок и хитроумных сюжетных поворотов история от укротителей диких хищников братьев Эдгарда и Аскольда Запашных!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гостинице. Встреча с гидом. Отправление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Экскурсия в музей-усадьбу «Коломенское» (Дворец Алексея Михайловича)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бывшую летнюю резиденцию московских царей и князей, с которой связаны многие события русской истории. Посещение дворца царя Алексея Михайловича с участием в интерактивной программе «Невесты и жены царя Алексея Михайловича».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музее-заповеднике «Коломенское». Самостоятельное возвращение в отель.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 Встреча с гидом. Отправление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Экскурсия на Киностудию «Мосфильм»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до ТЦ Европейский (ст. метро «Киевская»)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Все торговые центры так или иначе украшают себя к Новому году, но если где-то и царит настоящее новогоднее безумие, так это в «Европейском». При посещении ТЦ Европейский праздник начинается еще при входе и продолжается внутри здания – полет фантазии оформителей не знает границ, каждый год разное, но всегда неожиданное и захватывающее. В «Европейском» можно прекрасно провести время - покупая подарки и сувениры, выпить кофе или поесть в многочисленных ресторанах и кафе любуясь новогодним убранством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у ТЦ «Европейский» (ст. метро «Киевская»). Свободное время. Самостоятельное возвращение в отель.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гостинице.Освобождение номеров, сдача вещей в камеру хранения отеля.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Прогулка-экскурсия по уникальному району Москвы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Хамовники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место сосредоточения художественных музеев, современных арт-объектов, уникальных архитектурных памятников: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Храм Христа Спасителя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— одно из самых запоминающихся зданий в архитектурном образе столицы, сохраняющее за собой образ главного храма Отечества. История этого собора уникальна, а о его возведении известно множество интересных и необычных фактов. Изначально храм строили как архитектурный памятник в честь победы над гегемонией Наполеона.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Патриарший мост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заслуженно считается одним из самых впечатляющих в Москве. Весь мост, по сути, является большой смотровой площадкой, поскольку с него открываются завораживающие виды на центр города и основные достопримечательности Москвы: Кремль, памятник Петру I, Болотный остров, Дом на набережной, Центральный дом художника, Парк Горького и Музеон.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фабрика «Красный Октябрь»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— это Московская кондитерская фабрика, основанная в 1889 году и проработавшая на Берсеневской набережной Москвы более века. На сегодняшний день - этот комплекс сооружений является арт-кластером, где размещаются художественные галереи, выставки, магазины и проходят ярмарки современного искусства.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-Пушкинский музей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так коротко называют Государственный музей изобразительных искусств им. А. С. Пушкина, расположившийся на улице Волхонка. Его называют самым академичным музеем Москвы, ведь он располагает уникальной коллекцией скульптурных слепков, копий и подлинников, по которым можно изучать всю историю мировой культуры.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Посещение Музея сословий России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>- Один из самых молодых музеев Москвы. Размещается рядом с картинной галереей Ильи Глазунова в строении стилизованном под старинный особняк XIX века. Три этажа, каждый из которых посвящён отдельному сословию - наряды, портреты, иконы, предметы интерьера, воссозданная обстановка комнат и избы. Уникальное собрание картин, предметов быта, и неповторимое придворное платье великой княгини и невесты допетровской эпохи – не оставит равнодушным никого.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города. Свободное время. Самостоятельное возвращение в гостиницу.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(4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(4 </w:t>
            </w:r>
            <w:r>
              <w:rPr>
                <w:rFonts w:ascii="Arial" w:cs="Arial" w:hAnsi="Arial"/>
                <w:sz w:val="18"/>
                <w:szCs w:val="18"/>
              </w:rPr>
              <w:t>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и входные билеты по программе,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заезд после 14</w:t>
            </w:r>
            <w:r>
              <w:rPr>
                <w:rFonts w:ascii="Arial" w:cs="Arial" w:hAnsi="Arial"/>
                <w:sz w:val="18"/>
                <w:szCs w:val="18"/>
              </w:rPr>
              <w:t>:00, выезд до 12:00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>Важно: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 Освобождение номеров до 12:00. Завтрак в день заезда не предоставляется! Ориентировочное время начала экскурсионной программы - 10:00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индивидуальный трансфер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от ж/д вокзала, а/п.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 xml:space="preserve">- </w:t>
            </w: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ru-RU"/>
              </w:rPr>
              <w:t>Билет на посещение Москвариума - 1 800 руб.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